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B5E06" w14:textId="77777777" w:rsidR="00A97169" w:rsidRPr="00144C58" w:rsidRDefault="00A97169" w:rsidP="00A97169">
      <w:pPr>
        <w:numPr>
          <w:ilvl w:val="0"/>
          <w:numId w:val="1"/>
        </w:numPr>
        <w:spacing w:before="240"/>
        <w:jc w:val="both"/>
        <w:rPr>
          <w:rFonts w:ascii="Arial" w:hAnsi="Arial" w:cs="Arial"/>
          <w:bCs/>
          <w:spacing w:val="-3"/>
          <w:sz w:val="22"/>
          <w:szCs w:val="22"/>
        </w:rPr>
      </w:pPr>
      <w:r w:rsidRPr="00144C58">
        <w:rPr>
          <w:rFonts w:ascii="Arial" w:hAnsi="Arial" w:cs="Arial"/>
          <w:bCs/>
          <w:spacing w:val="-3"/>
          <w:sz w:val="22"/>
          <w:szCs w:val="22"/>
        </w:rPr>
        <w:t xml:space="preserve">The Public Sector Bill 2022 (the Bill) represents implementation of stage two public sector reforms arising from the recommendations of an </w:t>
      </w:r>
      <w:r w:rsidRPr="00144C58">
        <w:rPr>
          <w:rFonts w:ascii="Arial" w:hAnsi="Arial" w:cs="Arial"/>
          <w:iCs/>
          <w:sz w:val="22"/>
          <w:szCs w:val="22"/>
        </w:rPr>
        <w:t xml:space="preserve">independent review of public sector employment laws by Mr Peter Bridgman, titled </w:t>
      </w:r>
      <w:r w:rsidRPr="00144C58">
        <w:rPr>
          <w:rFonts w:ascii="Arial" w:hAnsi="Arial" w:cs="Arial"/>
          <w:i/>
          <w:sz w:val="22"/>
          <w:szCs w:val="22"/>
        </w:rPr>
        <w:t>A Fair and Responsive Public Service for All</w:t>
      </w:r>
      <w:r w:rsidRPr="00144C58">
        <w:rPr>
          <w:rFonts w:ascii="Arial" w:hAnsi="Arial" w:cs="Arial"/>
          <w:iCs/>
          <w:sz w:val="22"/>
          <w:szCs w:val="22"/>
        </w:rPr>
        <w:t xml:space="preserve"> (the Bridgman Review).  </w:t>
      </w:r>
    </w:p>
    <w:p w14:paraId="1C030424" w14:textId="77777777" w:rsidR="00A97169" w:rsidRPr="00481E0D" w:rsidRDefault="00A97169" w:rsidP="00A97169">
      <w:pPr>
        <w:numPr>
          <w:ilvl w:val="0"/>
          <w:numId w:val="1"/>
        </w:numPr>
        <w:spacing w:before="240"/>
        <w:jc w:val="both"/>
        <w:rPr>
          <w:rFonts w:ascii="Arial" w:hAnsi="Arial" w:cs="Arial"/>
          <w:bCs/>
          <w:spacing w:val="-3"/>
          <w:sz w:val="22"/>
          <w:szCs w:val="22"/>
        </w:rPr>
      </w:pPr>
      <w:r w:rsidRPr="00481E0D">
        <w:rPr>
          <w:rFonts w:ascii="Arial" w:hAnsi="Arial" w:cs="Arial"/>
          <w:iCs/>
          <w:sz w:val="22"/>
          <w:szCs w:val="22"/>
        </w:rPr>
        <w:t xml:space="preserve">The Bill repeals the </w:t>
      </w:r>
      <w:r w:rsidRPr="00481E0D">
        <w:rPr>
          <w:rFonts w:ascii="Arial" w:hAnsi="Arial" w:cs="Arial"/>
          <w:i/>
          <w:sz w:val="22"/>
          <w:szCs w:val="22"/>
        </w:rPr>
        <w:t>Public Service Act 2008</w:t>
      </w:r>
      <w:r w:rsidRPr="00481E0D">
        <w:rPr>
          <w:rFonts w:ascii="Arial" w:hAnsi="Arial" w:cs="Arial"/>
          <w:iCs/>
          <w:sz w:val="22"/>
          <w:szCs w:val="22"/>
        </w:rPr>
        <w:t xml:space="preserve"> and replaces it with the new </w:t>
      </w:r>
      <w:r w:rsidRPr="00481E0D">
        <w:rPr>
          <w:rFonts w:ascii="Arial" w:hAnsi="Arial" w:cs="Arial"/>
          <w:i/>
          <w:sz w:val="22"/>
          <w:szCs w:val="22"/>
        </w:rPr>
        <w:t>Public Sector Act 2022</w:t>
      </w:r>
      <w:r w:rsidRPr="00481E0D">
        <w:rPr>
          <w:rFonts w:ascii="Arial" w:hAnsi="Arial" w:cs="Arial"/>
          <w:iCs/>
          <w:sz w:val="22"/>
          <w:szCs w:val="22"/>
        </w:rPr>
        <w:t xml:space="preserve">, to </w:t>
      </w:r>
      <w:r w:rsidRPr="00481E0D">
        <w:rPr>
          <w:rFonts w:ascii="Arial" w:hAnsi="Arial" w:cs="Arial"/>
          <w:color w:val="auto"/>
          <w:sz w:val="22"/>
          <w:szCs w:val="22"/>
        </w:rPr>
        <w:t>provide all public sector employees with a modern, simplified and employee-focused legislative framework that can further the Queensland Government’s commitment to being fair, responsive and a leader in public administration.</w:t>
      </w:r>
    </w:p>
    <w:p w14:paraId="5E628B75" w14:textId="554C7696" w:rsidR="00481E0D" w:rsidRPr="00481E0D" w:rsidRDefault="00A97169" w:rsidP="00481E0D">
      <w:pPr>
        <w:numPr>
          <w:ilvl w:val="0"/>
          <w:numId w:val="1"/>
        </w:numPr>
        <w:spacing w:before="240"/>
        <w:jc w:val="both"/>
        <w:rPr>
          <w:rFonts w:ascii="Arial" w:hAnsi="Arial" w:cs="Arial"/>
          <w:bCs/>
          <w:spacing w:val="-3"/>
          <w:sz w:val="22"/>
          <w:szCs w:val="22"/>
        </w:rPr>
      </w:pPr>
      <w:r w:rsidRPr="00481E0D">
        <w:rPr>
          <w:rFonts w:ascii="Arial" w:hAnsi="Arial" w:cs="Arial"/>
          <w:bCs/>
          <w:spacing w:val="-3"/>
          <w:sz w:val="22"/>
          <w:szCs w:val="22"/>
        </w:rPr>
        <w:t xml:space="preserve">The Bill strengthens employment security by extending application of relevant employment arrangements </w:t>
      </w:r>
      <w:r w:rsidR="00481E0D" w:rsidRPr="00C12411">
        <w:rPr>
          <w:rFonts w:ascii="Arial" w:hAnsi="Arial" w:cs="Arial"/>
          <w:bCs/>
          <w:spacing w:val="-3"/>
          <w:sz w:val="22"/>
          <w:szCs w:val="22"/>
        </w:rPr>
        <w:t>beyond the public service to the broader public sector.</w:t>
      </w:r>
    </w:p>
    <w:p w14:paraId="593CFFB7" w14:textId="77777777" w:rsidR="00A97169" w:rsidRPr="00A34300" w:rsidRDefault="00A97169" w:rsidP="00A97169">
      <w:pPr>
        <w:numPr>
          <w:ilvl w:val="0"/>
          <w:numId w:val="1"/>
        </w:numPr>
        <w:spacing w:before="240"/>
        <w:jc w:val="both"/>
        <w:rPr>
          <w:rFonts w:ascii="Arial" w:hAnsi="Arial" w:cs="Arial"/>
          <w:bCs/>
          <w:spacing w:val="-3"/>
          <w:sz w:val="22"/>
          <w:szCs w:val="22"/>
        </w:rPr>
      </w:pPr>
      <w:r w:rsidRPr="00481E0D">
        <w:rPr>
          <w:rFonts w:ascii="Arial" w:hAnsi="Arial" w:cs="Arial"/>
          <w:bCs/>
          <w:spacing w:val="-3"/>
          <w:sz w:val="22"/>
          <w:szCs w:val="22"/>
        </w:rPr>
        <w:t>To support the Statement of Commitment to a Reframed Relationship (and key reforms such as the Path to Treaty), the Bill recognises the unique role that public sector entities have in supporting the Government to reframe its relationship with Aboriginal peoples and Torres Strait Islander peoples</w:t>
      </w:r>
      <w:r>
        <w:rPr>
          <w:rFonts w:ascii="Arial" w:hAnsi="Arial" w:cs="Arial"/>
          <w:bCs/>
          <w:spacing w:val="-3"/>
          <w:sz w:val="22"/>
          <w:szCs w:val="22"/>
        </w:rPr>
        <w:t>.</w:t>
      </w:r>
      <w:r w:rsidRPr="00A34300">
        <w:rPr>
          <w:rFonts w:ascii="Arial" w:hAnsi="Arial" w:cs="Arial"/>
          <w:bCs/>
          <w:spacing w:val="-3"/>
          <w:sz w:val="22"/>
          <w:szCs w:val="22"/>
        </w:rPr>
        <w:t xml:space="preserve"> </w:t>
      </w:r>
    </w:p>
    <w:p w14:paraId="142AFD1B" w14:textId="77777777" w:rsidR="00A97169" w:rsidRDefault="00A97169" w:rsidP="00A97169">
      <w:pPr>
        <w:numPr>
          <w:ilvl w:val="0"/>
          <w:numId w:val="1"/>
        </w:numPr>
        <w:spacing w:before="240"/>
        <w:jc w:val="both"/>
        <w:rPr>
          <w:rFonts w:ascii="Arial" w:hAnsi="Arial" w:cs="Arial"/>
          <w:bCs/>
          <w:spacing w:val="-3"/>
          <w:sz w:val="22"/>
          <w:szCs w:val="22"/>
        </w:rPr>
      </w:pPr>
      <w:r w:rsidRPr="00162A5A">
        <w:rPr>
          <w:rFonts w:ascii="Arial" w:hAnsi="Arial" w:cs="Arial"/>
          <w:bCs/>
          <w:spacing w:val="-3"/>
          <w:sz w:val="22"/>
          <w:szCs w:val="22"/>
        </w:rPr>
        <w:t xml:space="preserve">The Bill requires chief executives of public sector entities, the police service and other entities to take steps to promote equity, diversity, respect and inclusion. This establishes a nation leading, responsive and forward-looking legislative framework to support a high performing and societally representative Queensland public sector. </w:t>
      </w:r>
    </w:p>
    <w:p w14:paraId="503C9E51" w14:textId="77777777" w:rsidR="00A97169" w:rsidRDefault="00A97169" w:rsidP="00A97169">
      <w:pPr>
        <w:ind w:left="357"/>
        <w:jc w:val="both"/>
        <w:rPr>
          <w:rFonts w:ascii="Arial" w:hAnsi="Arial" w:cs="Arial"/>
          <w:bCs/>
          <w:spacing w:val="-3"/>
          <w:sz w:val="22"/>
          <w:szCs w:val="22"/>
        </w:rPr>
      </w:pPr>
    </w:p>
    <w:p w14:paraId="40927B64" w14:textId="714D806A" w:rsidR="00A97169" w:rsidRPr="00BA4A7D" w:rsidRDefault="00225FCD" w:rsidP="00A97169">
      <w:pPr>
        <w:numPr>
          <w:ilvl w:val="0"/>
          <w:numId w:val="1"/>
        </w:numPr>
        <w:ind w:hanging="357"/>
        <w:jc w:val="both"/>
        <w:rPr>
          <w:rFonts w:ascii="Arial" w:hAnsi="Arial" w:cs="Arial"/>
          <w:sz w:val="22"/>
          <w:szCs w:val="22"/>
        </w:rPr>
      </w:pPr>
      <w:r>
        <w:rPr>
          <w:rFonts w:ascii="Arial" w:hAnsi="Arial" w:cs="Arial"/>
          <w:bCs/>
          <w:spacing w:val="-3"/>
          <w:sz w:val="22"/>
          <w:szCs w:val="22"/>
        </w:rPr>
        <w:t xml:space="preserve">Amendments to </w:t>
      </w:r>
      <w:r w:rsidR="00A97169">
        <w:rPr>
          <w:rFonts w:ascii="Arial" w:hAnsi="Arial" w:cs="Arial"/>
          <w:bCs/>
          <w:spacing w:val="-3"/>
          <w:sz w:val="22"/>
          <w:szCs w:val="22"/>
        </w:rPr>
        <w:t>the</w:t>
      </w:r>
      <w:r w:rsidR="00A97169" w:rsidRPr="0017310F">
        <w:rPr>
          <w:rFonts w:ascii="Arial" w:hAnsi="Arial" w:cs="Arial"/>
          <w:bCs/>
          <w:spacing w:val="-3"/>
          <w:sz w:val="22"/>
          <w:szCs w:val="22"/>
        </w:rPr>
        <w:t xml:space="preserve"> </w:t>
      </w:r>
      <w:r w:rsidR="00A97169" w:rsidRPr="0017310F">
        <w:rPr>
          <w:rFonts w:ascii="Arial" w:hAnsi="Arial" w:cs="Arial"/>
          <w:bCs/>
          <w:i/>
          <w:iCs/>
          <w:spacing w:val="-3"/>
          <w:sz w:val="22"/>
          <w:szCs w:val="22"/>
        </w:rPr>
        <w:t>Ombudsman Act 2001</w:t>
      </w:r>
      <w:r w:rsidR="00A97169" w:rsidRPr="0017310F">
        <w:rPr>
          <w:rFonts w:ascii="Arial" w:hAnsi="Arial" w:cs="Arial"/>
          <w:bCs/>
          <w:spacing w:val="-3"/>
          <w:sz w:val="22"/>
          <w:szCs w:val="22"/>
        </w:rPr>
        <w:t xml:space="preserve"> and </w:t>
      </w:r>
      <w:r w:rsidR="00A97169" w:rsidRPr="0017310F">
        <w:rPr>
          <w:rFonts w:ascii="Arial" w:hAnsi="Arial" w:cs="Arial"/>
          <w:bCs/>
          <w:i/>
          <w:iCs/>
          <w:spacing w:val="-3"/>
          <w:sz w:val="22"/>
          <w:szCs w:val="22"/>
        </w:rPr>
        <w:t>Crime and Corruption Act 2001</w:t>
      </w:r>
      <w:r w:rsidR="00A97169" w:rsidRPr="0017310F">
        <w:rPr>
          <w:rFonts w:ascii="Arial" w:hAnsi="Arial" w:cs="Arial"/>
          <w:bCs/>
          <w:spacing w:val="-3"/>
          <w:sz w:val="22"/>
          <w:szCs w:val="22"/>
        </w:rPr>
        <w:t xml:space="preserve"> </w:t>
      </w:r>
      <w:r>
        <w:rPr>
          <w:rFonts w:ascii="Arial" w:hAnsi="Arial" w:cs="Arial"/>
          <w:bCs/>
          <w:spacing w:val="-3"/>
          <w:sz w:val="22"/>
          <w:szCs w:val="22"/>
        </w:rPr>
        <w:t xml:space="preserve">are included in the Bill </w:t>
      </w:r>
      <w:r w:rsidR="00A97169">
        <w:rPr>
          <w:rFonts w:ascii="Arial" w:hAnsi="Arial" w:cs="Arial"/>
          <w:bCs/>
          <w:spacing w:val="-3"/>
          <w:sz w:val="22"/>
          <w:szCs w:val="22"/>
        </w:rPr>
        <w:t xml:space="preserve">to </w:t>
      </w:r>
      <w:r w:rsidR="00A97169" w:rsidRPr="0017310F">
        <w:rPr>
          <w:rFonts w:ascii="Arial" w:hAnsi="Arial" w:cs="Arial"/>
          <w:sz w:val="22"/>
          <w:szCs w:val="22"/>
        </w:rPr>
        <w:t xml:space="preserve">implement and complement the recommendations and findings of Professor Coaldrake’s Report </w:t>
      </w:r>
      <w:r w:rsidR="00A97169" w:rsidRPr="0017310F">
        <w:rPr>
          <w:rFonts w:ascii="Arial" w:hAnsi="Arial" w:cs="Arial"/>
          <w:i/>
          <w:iCs/>
          <w:sz w:val="22"/>
          <w:szCs w:val="22"/>
        </w:rPr>
        <w:t>Let the sunshine in: Review of culture and accountability in the Queensland public sector</w:t>
      </w:r>
      <w:r w:rsidR="00A97169">
        <w:rPr>
          <w:rFonts w:ascii="Arial" w:hAnsi="Arial" w:cs="Arial"/>
          <w:sz w:val="22"/>
          <w:szCs w:val="22"/>
        </w:rPr>
        <w:t xml:space="preserve">. </w:t>
      </w:r>
      <w:r w:rsidR="00474628">
        <w:rPr>
          <w:rFonts w:ascii="Arial" w:hAnsi="Arial" w:cs="Arial"/>
          <w:sz w:val="22"/>
          <w:szCs w:val="22"/>
        </w:rPr>
        <w:t>The amendments strengthen</w:t>
      </w:r>
      <w:r w:rsidR="00A97169" w:rsidRPr="0017310F">
        <w:rPr>
          <w:rFonts w:ascii="Arial" w:hAnsi="Arial" w:cs="Arial"/>
          <w:sz w:val="22"/>
          <w:szCs w:val="22"/>
        </w:rPr>
        <w:t xml:space="preserve"> the independence of </w:t>
      </w:r>
      <w:r w:rsidR="00C776E5">
        <w:rPr>
          <w:rFonts w:ascii="Arial" w:hAnsi="Arial" w:cs="Arial"/>
          <w:sz w:val="22"/>
          <w:szCs w:val="22"/>
        </w:rPr>
        <w:t>certain</w:t>
      </w:r>
      <w:r w:rsidR="00A97169" w:rsidRPr="0017310F">
        <w:rPr>
          <w:rFonts w:ascii="Arial" w:hAnsi="Arial" w:cs="Arial"/>
          <w:sz w:val="22"/>
          <w:szCs w:val="22"/>
        </w:rPr>
        <w:t xml:space="preserve"> core integrity bodies </w:t>
      </w:r>
      <w:r w:rsidR="002F5459">
        <w:rPr>
          <w:rFonts w:ascii="Arial" w:hAnsi="Arial" w:cs="Arial"/>
          <w:sz w:val="22"/>
          <w:szCs w:val="22"/>
        </w:rPr>
        <w:t xml:space="preserve">by </w:t>
      </w:r>
      <w:r w:rsidR="00474628">
        <w:rPr>
          <w:rFonts w:ascii="Arial" w:hAnsi="Arial" w:cs="Arial"/>
          <w:sz w:val="22"/>
          <w:szCs w:val="22"/>
        </w:rPr>
        <w:t xml:space="preserve">removing these bodies from the </w:t>
      </w:r>
      <w:r w:rsidR="00A97169">
        <w:rPr>
          <w:rFonts w:ascii="Arial" w:hAnsi="Arial" w:cs="Arial"/>
          <w:sz w:val="22"/>
          <w:szCs w:val="22"/>
        </w:rPr>
        <w:t>scope of the Bill and introducing an alternative mechanism</w:t>
      </w:r>
      <w:r w:rsidR="00A97169" w:rsidRPr="00BA4A7D">
        <w:rPr>
          <w:rFonts w:ascii="Arial" w:hAnsi="Arial" w:cs="Arial"/>
          <w:sz w:val="22"/>
          <w:szCs w:val="22"/>
        </w:rPr>
        <w:t xml:space="preserve"> (a regulation-making power) to </w:t>
      </w:r>
      <w:r w:rsidR="00A97169">
        <w:rPr>
          <w:rFonts w:ascii="Arial" w:hAnsi="Arial" w:cs="Arial"/>
          <w:sz w:val="22"/>
          <w:szCs w:val="22"/>
        </w:rPr>
        <w:t>allow</w:t>
      </w:r>
      <w:r w:rsidR="00A97169" w:rsidRPr="00BA4A7D">
        <w:rPr>
          <w:rFonts w:ascii="Arial" w:hAnsi="Arial" w:cs="Arial"/>
          <w:sz w:val="22"/>
          <w:szCs w:val="22"/>
        </w:rPr>
        <w:t xml:space="preserve"> public sector employment arrangements to </w:t>
      </w:r>
      <w:r w:rsidR="00A97169">
        <w:rPr>
          <w:rFonts w:ascii="Arial" w:hAnsi="Arial" w:cs="Arial"/>
          <w:sz w:val="22"/>
          <w:szCs w:val="22"/>
        </w:rPr>
        <w:t xml:space="preserve">be applied to </w:t>
      </w:r>
      <w:r w:rsidR="00A97169" w:rsidRPr="00BA4A7D">
        <w:rPr>
          <w:rFonts w:ascii="Arial" w:hAnsi="Arial" w:cs="Arial"/>
          <w:sz w:val="22"/>
          <w:szCs w:val="22"/>
        </w:rPr>
        <w:t>their staf</w:t>
      </w:r>
      <w:r w:rsidR="004C448A">
        <w:rPr>
          <w:rFonts w:ascii="Arial" w:hAnsi="Arial" w:cs="Arial"/>
          <w:sz w:val="22"/>
          <w:szCs w:val="22"/>
        </w:rPr>
        <w:t>f.</w:t>
      </w:r>
    </w:p>
    <w:p w14:paraId="4E948FBB" w14:textId="77777777" w:rsidR="00A97169" w:rsidRPr="00C723BB" w:rsidRDefault="00A97169" w:rsidP="00A97169">
      <w:pPr>
        <w:numPr>
          <w:ilvl w:val="0"/>
          <w:numId w:val="1"/>
        </w:numPr>
        <w:spacing w:before="240"/>
        <w:jc w:val="both"/>
        <w:rPr>
          <w:rFonts w:ascii="Arial" w:hAnsi="Arial" w:cs="Arial"/>
          <w:bCs/>
          <w:spacing w:val="-3"/>
          <w:sz w:val="22"/>
          <w:szCs w:val="22"/>
        </w:rPr>
      </w:pPr>
      <w:r w:rsidRPr="000A7041">
        <w:rPr>
          <w:rFonts w:ascii="Arial" w:hAnsi="Arial" w:cs="Arial"/>
          <w:iCs/>
          <w:sz w:val="22"/>
          <w:szCs w:val="22"/>
        </w:rPr>
        <w:t xml:space="preserve">To ensure that public sector employment arrangements are cohesive, </w:t>
      </w:r>
      <w:r>
        <w:rPr>
          <w:rFonts w:ascii="Arial" w:hAnsi="Arial" w:cs="Arial"/>
          <w:iCs/>
          <w:sz w:val="22"/>
          <w:szCs w:val="22"/>
        </w:rPr>
        <w:t>the Bill amends</w:t>
      </w:r>
      <w:r w:rsidRPr="000A7041">
        <w:rPr>
          <w:rFonts w:ascii="Arial" w:hAnsi="Arial" w:cs="Arial"/>
          <w:iCs/>
          <w:sz w:val="22"/>
          <w:szCs w:val="22"/>
        </w:rPr>
        <w:t xml:space="preserve"> other Acts that regulate the employment of particular public sector employees. </w:t>
      </w:r>
      <w:r>
        <w:rPr>
          <w:rFonts w:ascii="Arial" w:hAnsi="Arial" w:cs="Arial"/>
          <w:iCs/>
          <w:sz w:val="22"/>
          <w:szCs w:val="22"/>
        </w:rPr>
        <w:t>This includes amendments to the</w:t>
      </w:r>
      <w:r w:rsidRPr="000A7041">
        <w:rPr>
          <w:rFonts w:ascii="Arial" w:hAnsi="Arial" w:cs="Arial"/>
          <w:iCs/>
          <w:sz w:val="22"/>
          <w:szCs w:val="22"/>
        </w:rPr>
        <w:t xml:space="preserve"> </w:t>
      </w:r>
      <w:r w:rsidRPr="000A7041">
        <w:rPr>
          <w:rFonts w:ascii="Arial" w:hAnsi="Arial" w:cs="Arial"/>
          <w:i/>
          <w:sz w:val="22"/>
          <w:szCs w:val="22"/>
        </w:rPr>
        <w:t xml:space="preserve">Ambulance Service Act 1991 </w:t>
      </w:r>
      <w:r w:rsidRPr="000A7041">
        <w:rPr>
          <w:rFonts w:ascii="Arial" w:hAnsi="Arial" w:cs="Arial"/>
          <w:iCs/>
          <w:sz w:val="22"/>
          <w:szCs w:val="22"/>
        </w:rPr>
        <w:t xml:space="preserve">and </w:t>
      </w:r>
      <w:r w:rsidRPr="000A7041">
        <w:rPr>
          <w:rFonts w:ascii="Arial" w:hAnsi="Arial" w:cs="Arial"/>
          <w:i/>
          <w:sz w:val="22"/>
          <w:szCs w:val="22"/>
        </w:rPr>
        <w:t xml:space="preserve">Fire and Emergency Services Act 1990 </w:t>
      </w:r>
      <w:r>
        <w:rPr>
          <w:rFonts w:ascii="Arial" w:hAnsi="Arial" w:cs="Arial"/>
          <w:iCs/>
          <w:sz w:val="22"/>
          <w:szCs w:val="22"/>
        </w:rPr>
        <w:t>to remove</w:t>
      </w:r>
      <w:r w:rsidRPr="000A7041">
        <w:rPr>
          <w:rFonts w:ascii="Arial" w:hAnsi="Arial" w:cs="Arial"/>
          <w:iCs/>
          <w:sz w:val="22"/>
          <w:szCs w:val="22"/>
        </w:rPr>
        <w:t xml:space="preserve"> the statutory disciplinary frameworks in those Acts, allowing the disciplinary framework in the Bill to operate instead.  </w:t>
      </w:r>
    </w:p>
    <w:p w14:paraId="6BBF7303" w14:textId="46213E14" w:rsidR="00AB277D" w:rsidRDefault="00AB277D" w:rsidP="00D6589B">
      <w:pPr>
        <w:numPr>
          <w:ilvl w:val="0"/>
          <w:numId w:val="1"/>
        </w:numPr>
        <w:spacing w:before="240"/>
        <w:jc w:val="both"/>
        <w:rPr>
          <w:rFonts w:ascii="Arial" w:hAnsi="Arial" w:cs="Arial"/>
          <w:bCs/>
          <w:spacing w:val="-3"/>
          <w:sz w:val="22"/>
          <w:szCs w:val="22"/>
        </w:rPr>
      </w:pPr>
      <w:r>
        <w:rPr>
          <w:rFonts w:ascii="Arial" w:hAnsi="Arial" w:cs="Arial"/>
          <w:bCs/>
          <w:spacing w:val="-3"/>
          <w:sz w:val="22"/>
          <w:szCs w:val="22"/>
          <w:u w:val="single"/>
        </w:rPr>
        <w:t>Cabinet approved</w:t>
      </w:r>
      <w:r>
        <w:rPr>
          <w:rFonts w:ascii="Arial" w:hAnsi="Arial" w:cs="Arial"/>
          <w:bCs/>
          <w:spacing w:val="-3"/>
          <w:sz w:val="22"/>
          <w:szCs w:val="22"/>
        </w:rPr>
        <w:t xml:space="preserve"> the introduction of the </w:t>
      </w:r>
      <w:r w:rsidR="00165483">
        <w:rPr>
          <w:rFonts w:ascii="Arial" w:hAnsi="Arial" w:cs="Arial"/>
          <w:bCs/>
          <w:spacing w:val="-3"/>
          <w:sz w:val="22"/>
          <w:szCs w:val="22"/>
        </w:rPr>
        <w:t>Public Sector Bill</w:t>
      </w:r>
      <w:r>
        <w:rPr>
          <w:rFonts w:ascii="Arial" w:hAnsi="Arial" w:cs="Arial"/>
          <w:bCs/>
          <w:spacing w:val="-3"/>
          <w:sz w:val="22"/>
          <w:szCs w:val="22"/>
        </w:rPr>
        <w:t xml:space="preserve"> 2022 into the Legislative Assembly.</w:t>
      </w:r>
    </w:p>
    <w:p w14:paraId="67C0B123" w14:textId="0717CE17" w:rsidR="00141D8F" w:rsidRPr="00544F9F" w:rsidRDefault="00141D8F" w:rsidP="00141D8F">
      <w:pPr>
        <w:numPr>
          <w:ilvl w:val="0"/>
          <w:numId w:val="1"/>
        </w:numPr>
        <w:spacing w:before="240"/>
        <w:jc w:val="both"/>
        <w:rPr>
          <w:rFonts w:ascii="Arial" w:hAnsi="Arial" w:cs="Arial"/>
          <w:bCs/>
          <w:spacing w:val="-3"/>
          <w:sz w:val="22"/>
          <w:szCs w:val="22"/>
          <w:u w:val="single"/>
        </w:rPr>
      </w:pPr>
      <w:r w:rsidRPr="00E67761">
        <w:rPr>
          <w:rFonts w:ascii="Arial" w:hAnsi="Arial" w:cs="Arial"/>
          <w:bCs/>
          <w:i/>
          <w:iCs/>
          <w:spacing w:val="-3"/>
          <w:sz w:val="22"/>
          <w:szCs w:val="22"/>
          <w:u w:val="single"/>
        </w:rPr>
        <w:t>Attachments</w:t>
      </w:r>
      <w:r w:rsidR="00E933A5">
        <w:rPr>
          <w:rFonts w:ascii="Arial" w:hAnsi="Arial" w:cs="Arial"/>
          <w:bCs/>
          <w:spacing w:val="-3"/>
          <w:sz w:val="22"/>
          <w:szCs w:val="22"/>
        </w:rPr>
        <w:t>:</w:t>
      </w:r>
    </w:p>
    <w:p w14:paraId="01E767C6" w14:textId="39B3C85A" w:rsidR="00141D8F" w:rsidRDefault="00F358FC" w:rsidP="00E67761">
      <w:pPr>
        <w:numPr>
          <w:ilvl w:val="0"/>
          <w:numId w:val="3"/>
        </w:numPr>
        <w:spacing w:before="120"/>
        <w:ind w:left="714" w:hanging="357"/>
        <w:jc w:val="both"/>
        <w:rPr>
          <w:rFonts w:ascii="Arial" w:hAnsi="Arial" w:cs="Arial"/>
          <w:bCs/>
          <w:spacing w:val="-3"/>
          <w:sz w:val="22"/>
          <w:szCs w:val="22"/>
        </w:rPr>
      </w:pPr>
      <w:hyperlink r:id="rId10" w:history="1">
        <w:r w:rsidR="00165483" w:rsidRPr="003E10DC">
          <w:rPr>
            <w:rStyle w:val="Hyperlink"/>
            <w:rFonts w:ascii="Arial" w:hAnsi="Arial" w:cs="Arial"/>
            <w:bCs/>
            <w:spacing w:val="-3"/>
            <w:sz w:val="22"/>
            <w:szCs w:val="22"/>
          </w:rPr>
          <w:t xml:space="preserve">Public Sector Bill </w:t>
        </w:r>
      </w:hyperlink>
    </w:p>
    <w:p w14:paraId="2E15B56F" w14:textId="3B851331" w:rsidR="00141D8F" w:rsidRDefault="00F358FC" w:rsidP="00E67761">
      <w:pPr>
        <w:numPr>
          <w:ilvl w:val="0"/>
          <w:numId w:val="3"/>
        </w:numPr>
        <w:spacing w:before="120"/>
        <w:ind w:left="714" w:hanging="357"/>
        <w:jc w:val="both"/>
        <w:rPr>
          <w:rFonts w:ascii="Arial" w:hAnsi="Arial" w:cs="Arial"/>
          <w:bCs/>
          <w:spacing w:val="-3"/>
          <w:sz w:val="22"/>
          <w:szCs w:val="22"/>
        </w:rPr>
      </w:pPr>
      <w:hyperlink r:id="rId11" w:history="1">
        <w:r w:rsidR="00141D8F" w:rsidRPr="00D352EB">
          <w:rPr>
            <w:rStyle w:val="Hyperlink"/>
            <w:rFonts w:ascii="Arial" w:hAnsi="Arial" w:cs="Arial"/>
            <w:bCs/>
            <w:spacing w:val="-3"/>
            <w:sz w:val="22"/>
            <w:szCs w:val="22"/>
          </w:rPr>
          <w:t>Explanatory Notes</w:t>
        </w:r>
      </w:hyperlink>
    </w:p>
    <w:p w14:paraId="78B693F3" w14:textId="00ED746E" w:rsidR="00732E22" w:rsidRDefault="00F358FC" w:rsidP="00E67761">
      <w:pPr>
        <w:numPr>
          <w:ilvl w:val="0"/>
          <w:numId w:val="3"/>
        </w:numPr>
        <w:spacing w:before="120"/>
        <w:ind w:left="714" w:hanging="357"/>
        <w:jc w:val="both"/>
        <w:rPr>
          <w:rFonts w:ascii="Arial" w:hAnsi="Arial" w:cs="Arial"/>
          <w:bCs/>
          <w:spacing w:val="-3"/>
          <w:sz w:val="22"/>
          <w:szCs w:val="22"/>
        </w:rPr>
      </w:pPr>
      <w:hyperlink r:id="rId12" w:history="1">
        <w:r w:rsidR="00141D8F" w:rsidRPr="003E10DC">
          <w:rPr>
            <w:rStyle w:val="Hyperlink"/>
            <w:rFonts w:ascii="Arial" w:hAnsi="Arial" w:cs="Arial"/>
            <w:bCs/>
            <w:spacing w:val="-3"/>
            <w:sz w:val="22"/>
            <w:szCs w:val="22"/>
          </w:rPr>
          <w:t xml:space="preserve">Statement of Compatibility </w:t>
        </w:r>
      </w:hyperlink>
    </w:p>
    <w:sectPr w:rsidR="00732E22" w:rsidSect="00E933A5">
      <w:headerReference w:type="defaul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D6D80" w14:textId="77777777" w:rsidR="0007113B" w:rsidRDefault="0007113B" w:rsidP="00D6589B">
      <w:r>
        <w:separator/>
      </w:r>
    </w:p>
  </w:endnote>
  <w:endnote w:type="continuationSeparator" w:id="0">
    <w:p w14:paraId="1E24B370" w14:textId="77777777" w:rsidR="0007113B" w:rsidRDefault="0007113B"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48B50" w14:textId="77777777" w:rsidR="0007113B" w:rsidRDefault="0007113B" w:rsidP="00D6589B">
      <w:r>
        <w:separator/>
      </w:r>
    </w:p>
  </w:footnote>
  <w:footnote w:type="continuationSeparator" w:id="0">
    <w:p w14:paraId="0462473A" w14:textId="77777777" w:rsidR="0007113B" w:rsidRDefault="0007113B"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5910"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1A1D7CAE"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7844DCB9" w14:textId="24CA7C85"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E933A5">
      <w:rPr>
        <w:rFonts w:ascii="Arial" w:hAnsi="Arial" w:cs="Arial"/>
        <w:b/>
        <w:color w:val="auto"/>
        <w:sz w:val="22"/>
        <w:szCs w:val="22"/>
        <w:lang w:eastAsia="en-US"/>
      </w:rPr>
      <w:t>October</w:t>
    </w:r>
    <w:r w:rsidR="00B74E45">
      <w:rPr>
        <w:rFonts w:ascii="Arial" w:hAnsi="Arial" w:cs="Arial"/>
        <w:b/>
        <w:color w:val="auto"/>
        <w:sz w:val="22"/>
        <w:szCs w:val="22"/>
        <w:lang w:eastAsia="en-US"/>
      </w:rPr>
      <w:t xml:space="preserve"> 2022</w:t>
    </w:r>
  </w:p>
  <w:p w14:paraId="04D4AA49" w14:textId="23DAAA0D" w:rsidR="00CB1501" w:rsidRDefault="00237DEE" w:rsidP="00D6589B">
    <w:pPr>
      <w:pStyle w:val="Header"/>
      <w:spacing w:before="120"/>
      <w:rPr>
        <w:rFonts w:ascii="Arial" w:hAnsi="Arial" w:cs="Arial"/>
        <w:b/>
        <w:sz w:val="22"/>
        <w:szCs w:val="22"/>
        <w:u w:val="single"/>
      </w:rPr>
    </w:pPr>
    <w:r>
      <w:rPr>
        <w:rFonts w:ascii="Arial" w:hAnsi="Arial" w:cs="Arial"/>
        <w:b/>
        <w:sz w:val="22"/>
        <w:szCs w:val="22"/>
        <w:u w:val="single"/>
      </w:rPr>
      <w:t>Public Sector</w:t>
    </w:r>
    <w:r w:rsidR="00B74E45">
      <w:rPr>
        <w:rFonts w:ascii="Arial" w:hAnsi="Arial" w:cs="Arial"/>
        <w:b/>
        <w:sz w:val="22"/>
        <w:szCs w:val="22"/>
        <w:u w:val="single"/>
      </w:rPr>
      <w:t xml:space="preserve"> Bill 2022</w:t>
    </w:r>
  </w:p>
  <w:p w14:paraId="6D955668" w14:textId="3DCA885C" w:rsidR="00CB1501" w:rsidRDefault="00B74E45" w:rsidP="00D6589B">
    <w:pPr>
      <w:pStyle w:val="Header"/>
      <w:spacing w:before="120"/>
      <w:rPr>
        <w:rFonts w:ascii="Arial" w:hAnsi="Arial" w:cs="Arial"/>
        <w:b/>
        <w:sz w:val="22"/>
        <w:szCs w:val="22"/>
        <w:u w:val="single"/>
      </w:rPr>
    </w:pPr>
    <w:r>
      <w:rPr>
        <w:rFonts w:ascii="Arial" w:hAnsi="Arial" w:cs="Arial"/>
        <w:b/>
        <w:sz w:val="22"/>
        <w:szCs w:val="22"/>
        <w:u w:val="single"/>
      </w:rPr>
      <w:t xml:space="preserve">Premier and Minister for the Olympics </w:t>
    </w:r>
  </w:p>
  <w:p w14:paraId="2232EB88" w14:textId="4742505A" w:rsidR="00DF1760" w:rsidRDefault="00DF1760" w:rsidP="00D6589B">
    <w:pPr>
      <w:pStyle w:val="Header"/>
      <w:spacing w:before="120"/>
      <w:rPr>
        <w:rFonts w:ascii="Arial" w:hAnsi="Arial" w:cs="Arial"/>
        <w:b/>
        <w:sz w:val="22"/>
        <w:szCs w:val="22"/>
        <w:u w:val="single"/>
      </w:rPr>
    </w:pPr>
    <w:r w:rsidRPr="00DF1760">
      <w:rPr>
        <w:rFonts w:ascii="Arial" w:hAnsi="Arial" w:cs="Arial"/>
        <w:b/>
        <w:sz w:val="22"/>
        <w:szCs w:val="22"/>
        <w:u w:val="single"/>
      </w:rPr>
      <w:t>Minister for Education, Minister for Industrial Relations and Minister for Racing</w:t>
    </w:r>
  </w:p>
  <w:p w14:paraId="1520D436"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13AE2"/>
    <w:multiLevelType w:val="hybridMultilevel"/>
    <w:tmpl w:val="33EC5350"/>
    <w:lvl w:ilvl="0" w:tplc="04090001">
      <w:start w:val="1"/>
      <w:numFmt w:val="bullet"/>
      <w:lvlText w:val=""/>
      <w:lvlJc w:val="left"/>
      <w:pPr>
        <w:tabs>
          <w:tab w:val="num" w:pos="717"/>
        </w:tabs>
        <w:ind w:left="717" w:hanging="360"/>
      </w:pPr>
      <w:rPr>
        <w:rFonts w:ascii="Symbol" w:hAnsi="Symbol" w:hint="default"/>
        <w:b w:val="0"/>
        <w:bCs w:val="0"/>
        <w:i w:val="0"/>
        <w:iCs w:val="0"/>
      </w:rPr>
    </w:lvl>
    <w:lvl w:ilvl="1" w:tplc="FFFFFFFF">
      <w:start w:val="1"/>
      <w:numFmt w:val="lowerLetter"/>
      <w:lvlText w:val="%2."/>
      <w:lvlJc w:val="left"/>
      <w:pPr>
        <w:tabs>
          <w:tab w:val="num" w:pos="1437"/>
        </w:tabs>
        <w:ind w:left="1437" w:hanging="360"/>
      </w:pPr>
    </w:lvl>
    <w:lvl w:ilvl="2" w:tplc="FFFFFFFF" w:tentative="1">
      <w:start w:val="1"/>
      <w:numFmt w:val="lowerRoman"/>
      <w:lvlText w:val="%3."/>
      <w:lvlJc w:val="right"/>
      <w:pPr>
        <w:tabs>
          <w:tab w:val="num" w:pos="2157"/>
        </w:tabs>
        <w:ind w:left="2157" w:hanging="180"/>
      </w:pPr>
    </w:lvl>
    <w:lvl w:ilvl="3" w:tplc="FFFFFFFF" w:tentative="1">
      <w:start w:val="1"/>
      <w:numFmt w:val="decimal"/>
      <w:lvlText w:val="%4."/>
      <w:lvlJc w:val="left"/>
      <w:pPr>
        <w:tabs>
          <w:tab w:val="num" w:pos="2877"/>
        </w:tabs>
        <w:ind w:left="2877" w:hanging="360"/>
      </w:pPr>
    </w:lvl>
    <w:lvl w:ilvl="4" w:tplc="FFFFFFFF" w:tentative="1">
      <w:start w:val="1"/>
      <w:numFmt w:val="lowerLetter"/>
      <w:lvlText w:val="%5."/>
      <w:lvlJc w:val="left"/>
      <w:pPr>
        <w:tabs>
          <w:tab w:val="num" w:pos="3597"/>
        </w:tabs>
        <w:ind w:left="3597" w:hanging="360"/>
      </w:pPr>
    </w:lvl>
    <w:lvl w:ilvl="5" w:tplc="FFFFFFFF" w:tentative="1">
      <w:start w:val="1"/>
      <w:numFmt w:val="lowerRoman"/>
      <w:lvlText w:val="%6."/>
      <w:lvlJc w:val="right"/>
      <w:pPr>
        <w:tabs>
          <w:tab w:val="num" w:pos="4317"/>
        </w:tabs>
        <w:ind w:left="4317" w:hanging="180"/>
      </w:pPr>
    </w:lvl>
    <w:lvl w:ilvl="6" w:tplc="FFFFFFFF" w:tentative="1">
      <w:start w:val="1"/>
      <w:numFmt w:val="decimal"/>
      <w:lvlText w:val="%7."/>
      <w:lvlJc w:val="left"/>
      <w:pPr>
        <w:tabs>
          <w:tab w:val="num" w:pos="5037"/>
        </w:tabs>
        <w:ind w:left="5037" w:hanging="360"/>
      </w:pPr>
    </w:lvl>
    <w:lvl w:ilvl="7" w:tplc="FFFFFFFF" w:tentative="1">
      <w:start w:val="1"/>
      <w:numFmt w:val="lowerLetter"/>
      <w:lvlText w:val="%8."/>
      <w:lvlJc w:val="left"/>
      <w:pPr>
        <w:tabs>
          <w:tab w:val="num" w:pos="5757"/>
        </w:tabs>
        <w:ind w:left="5757" w:hanging="360"/>
      </w:pPr>
    </w:lvl>
    <w:lvl w:ilvl="8" w:tplc="FFFFFFFF" w:tentative="1">
      <w:start w:val="1"/>
      <w:numFmt w:val="lowerRoman"/>
      <w:lvlText w:val="%9."/>
      <w:lvlJc w:val="right"/>
      <w:pPr>
        <w:tabs>
          <w:tab w:val="num" w:pos="6477"/>
        </w:tabs>
        <w:ind w:left="6477" w:hanging="180"/>
      </w:pPr>
    </w:lvl>
  </w:abstractNum>
  <w:abstractNum w:abstractNumId="1" w15:restartNumberingAfterBreak="0">
    <w:nsid w:val="13765AB3"/>
    <w:multiLevelType w:val="hybridMultilevel"/>
    <w:tmpl w:val="C234D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A91844"/>
    <w:multiLevelType w:val="hybridMultilevel"/>
    <w:tmpl w:val="1108AF72"/>
    <w:lvl w:ilvl="0" w:tplc="0C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3"/>
        </w:tabs>
        <w:ind w:left="1443" w:hanging="363"/>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2396ACA6"/>
    <w:lvl w:ilvl="0" w:tplc="0C09000F">
      <w:start w:val="1"/>
      <w:numFmt w:val="decimal"/>
      <w:lvlText w:val="%1."/>
      <w:lvlJc w:val="left"/>
      <w:pPr>
        <w:tabs>
          <w:tab w:val="num" w:pos="360"/>
        </w:tabs>
        <w:ind w:left="36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86020277">
    <w:abstractNumId w:val="4"/>
  </w:num>
  <w:num w:numId="2" w16cid:durableId="1523131703">
    <w:abstractNumId w:val="3"/>
  </w:num>
  <w:num w:numId="3" w16cid:durableId="805317220">
    <w:abstractNumId w:val="2"/>
  </w:num>
  <w:num w:numId="4" w16cid:durableId="1433555090">
    <w:abstractNumId w:val="0"/>
  </w:num>
  <w:num w:numId="5" w16cid:durableId="975110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1C"/>
    <w:rsid w:val="00002C79"/>
    <w:rsid w:val="00004326"/>
    <w:rsid w:val="00011BB5"/>
    <w:rsid w:val="00027ECA"/>
    <w:rsid w:val="00030533"/>
    <w:rsid w:val="0006367F"/>
    <w:rsid w:val="0007113B"/>
    <w:rsid w:val="00073C4B"/>
    <w:rsid w:val="00080F8F"/>
    <w:rsid w:val="000A7041"/>
    <w:rsid w:val="000E58D4"/>
    <w:rsid w:val="0010384C"/>
    <w:rsid w:val="001077AB"/>
    <w:rsid w:val="0012680B"/>
    <w:rsid w:val="00141D8F"/>
    <w:rsid w:val="00144C58"/>
    <w:rsid w:val="00152095"/>
    <w:rsid w:val="00162A5A"/>
    <w:rsid w:val="00165483"/>
    <w:rsid w:val="001666D5"/>
    <w:rsid w:val="0017310F"/>
    <w:rsid w:val="00174117"/>
    <w:rsid w:val="001C6C6D"/>
    <w:rsid w:val="001E7674"/>
    <w:rsid w:val="001F1964"/>
    <w:rsid w:val="00204788"/>
    <w:rsid w:val="00225FCD"/>
    <w:rsid w:val="00237DEE"/>
    <w:rsid w:val="002463C7"/>
    <w:rsid w:val="002E07A3"/>
    <w:rsid w:val="002E72F2"/>
    <w:rsid w:val="002F5459"/>
    <w:rsid w:val="0031289C"/>
    <w:rsid w:val="00345FD1"/>
    <w:rsid w:val="00382E43"/>
    <w:rsid w:val="003A3BDD"/>
    <w:rsid w:val="003B4666"/>
    <w:rsid w:val="003B7805"/>
    <w:rsid w:val="003E10DC"/>
    <w:rsid w:val="003E45A1"/>
    <w:rsid w:val="003E5DE4"/>
    <w:rsid w:val="003F2C72"/>
    <w:rsid w:val="00401687"/>
    <w:rsid w:val="004316B8"/>
    <w:rsid w:val="00433464"/>
    <w:rsid w:val="0043543B"/>
    <w:rsid w:val="00474628"/>
    <w:rsid w:val="00481E0D"/>
    <w:rsid w:val="0048346A"/>
    <w:rsid w:val="004A0A22"/>
    <w:rsid w:val="004A3288"/>
    <w:rsid w:val="004C448A"/>
    <w:rsid w:val="004C7223"/>
    <w:rsid w:val="004F062E"/>
    <w:rsid w:val="00501C66"/>
    <w:rsid w:val="00511AFC"/>
    <w:rsid w:val="005141B9"/>
    <w:rsid w:val="00515F3E"/>
    <w:rsid w:val="00524255"/>
    <w:rsid w:val="00525904"/>
    <w:rsid w:val="005327F4"/>
    <w:rsid w:val="00544F9F"/>
    <w:rsid w:val="00550873"/>
    <w:rsid w:val="005533BA"/>
    <w:rsid w:val="00567491"/>
    <w:rsid w:val="005A5129"/>
    <w:rsid w:val="005B380B"/>
    <w:rsid w:val="005C7EF8"/>
    <w:rsid w:val="00600612"/>
    <w:rsid w:val="00611F33"/>
    <w:rsid w:val="0064366E"/>
    <w:rsid w:val="00646BE1"/>
    <w:rsid w:val="006540B7"/>
    <w:rsid w:val="006833B1"/>
    <w:rsid w:val="006A321C"/>
    <w:rsid w:val="006C36A2"/>
    <w:rsid w:val="006E4411"/>
    <w:rsid w:val="00702F9B"/>
    <w:rsid w:val="007265D0"/>
    <w:rsid w:val="00732E22"/>
    <w:rsid w:val="00741C20"/>
    <w:rsid w:val="00774FC6"/>
    <w:rsid w:val="007765F4"/>
    <w:rsid w:val="007F19E6"/>
    <w:rsid w:val="007F44F4"/>
    <w:rsid w:val="007F74D8"/>
    <w:rsid w:val="0081160E"/>
    <w:rsid w:val="00831498"/>
    <w:rsid w:val="0087749A"/>
    <w:rsid w:val="008A13FD"/>
    <w:rsid w:val="008B0921"/>
    <w:rsid w:val="008C1288"/>
    <w:rsid w:val="008C31C2"/>
    <w:rsid w:val="008C48D8"/>
    <w:rsid w:val="008C66E6"/>
    <w:rsid w:val="008E049D"/>
    <w:rsid w:val="00904077"/>
    <w:rsid w:val="00910F98"/>
    <w:rsid w:val="00937A4A"/>
    <w:rsid w:val="00953CC2"/>
    <w:rsid w:val="009556CF"/>
    <w:rsid w:val="00992207"/>
    <w:rsid w:val="009A1ECD"/>
    <w:rsid w:val="009A64A1"/>
    <w:rsid w:val="009C3FB9"/>
    <w:rsid w:val="009F26FF"/>
    <w:rsid w:val="009F382A"/>
    <w:rsid w:val="00A034B2"/>
    <w:rsid w:val="00A1410D"/>
    <w:rsid w:val="00A34300"/>
    <w:rsid w:val="00A77D1A"/>
    <w:rsid w:val="00A848D2"/>
    <w:rsid w:val="00A97169"/>
    <w:rsid w:val="00AB277D"/>
    <w:rsid w:val="00AE17FF"/>
    <w:rsid w:val="00AE25AA"/>
    <w:rsid w:val="00AF5E2D"/>
    <w:rsid w:val="00B01F2B"/>
    <w:rsid w:val="00B730E1"/>
    <w:rsid w:val="00B74E45"/>
    <w:rsid w:val="00B85755"/>
    <w:rsid w:val="00B95181"/>
    <w:rsid w:val="00B95A06"/>
    <w:rsid w:val="00BA4A7D"/>
    <w:rsid w:val="00BC6506"/>
    <w:rsid w:val="00BF2A4B"/>
    <w:rsid w:val="00C12411"/>
    <w:rsid w:val="00C26285"/>
    <w:rsid w:val="00C304ED"/>
    <w:rsid w:val="00C723BB"/>
    <w:rsid w:val="00C75E67"/>
    <w:rsid w:val="00C776E5"/>
    <w:rsid w:val="00CB039A"/>
    <w:rsid w:val="00CB1501"/>
    <w:rsid w:val="00CD7A50"/>
    <w:rsid w:val="00CF0D8A"/>
    <w:rsid w:val="00D014BF"/>
    <w:rsid w:val="00D352EB"/>
    <w:rsid w:val="00D46A42"/>
    <w:rsid w:val="00D51BAF"/>
    <w:rsid w:val="00D57667"/>
    <w:rsid w:val="00D6589B"/>
    <w:rsid w:val="00D673B3"/>
    <w:rsid w:val="00D72E21"/>
    <w:rsid w:val="00D81BF0"/>
    <w:rsid w:val="00D8411C"/>
    <w:rsid w:val="00DA4161"/>
    <w:rsid w:val="00DB760F"/>
    <w:rsid w:val="00DC6C53"/>
    <w:rsid w:val="00DF0C78"/>
    <w:rsid w:val="00DF1760"/>
    <w:rsid w:val="00E14E62"/>
    <w:rsid w:val="00E27674"/>
    <w:rsid w:val="00E47307"/>
    <w:rsid w:val="00E632AA"/>
    <w:rsid w:val="00E67761"/>
    <w:rsid w:val="00E70C69"/>
    <w:rsid w:val="00E7510F"/>
    <w:rsid w:val="00E933A5"/>
    <w:rsid w:val="00EF1C01"/>
    <w:rsid w:val="00F24A8A"/>
    <w:rsid w:val="00F358FC"/>
    <w:rsid w:val="00F45B99"/>
    <w:rsid w:val="00F464B0"/>
    <w:rsid w:val="00F5619D"/>
    <w:rsid w:val="00F71E88"/>
    <w:rsid w:val="00F94D48"/>
    <w:rsid w:val="00FB2B4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6E9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Revision">
    <w:name w:val="Revision"/>
    <w:hidden/>
    <w:uiPriority w:val="99"/>
    <w:semiHidden/>
    <w:rsid w:val="00A77D1A"/>
    <w:rPr>
      <w:rFonts w:ascii="Times New Roman" w:eastAsia="Times New Roman" w:hAnsi="Times New Roman"/>
      <w:color w:val="000000"/>
      <w:sz w:val="24"/>
    </w:rPr>
  </w:style>
  <w:style w:type="character" w:styleId="CommentReference">
    <w:name w:val="annotation reference"/>
    <w:basedOn w:val="DefaultParagraphFont"/>
    <w:uiPriority w:val="99"/>
    <w:semiHidden/>
    <w:unhideWhenUsed/>
    <w:rsid w:val="009C3FB9"/>
    <w:rPr>
      <w:sz w:val="16"/>
      <w:szCs w:val="16"/>
    </w:rPr>
  </w:style>
  <w:style w:type="paragraph" w:styleId="CommentText">
    <w:name w:val="annotation text"/>
    <w:basedOn w:val="Normal"/>
    <w:link w:val="CommentTextChar"/>
    <w:uiPriority w:val="99"/>
    <w:unhideWhenUsed/>
    <w:rsid w:val="009C3FB9"/>
    <w:rPr>
      <w:sz w:val="20"/>
    </w:rPr>
  </w:style>
  <w:style w:type="character" w:customStyle="1" w:styleId="CommentTextChar">
    <w:name w:val="Comment Text Char"/>
    <w:basedOn w:val="DefaultParagraphFont"/>
    <w:link w:val="CommentText"/>
    <w:uiPriority w:val="99"/>
    <w:rsid w:val="009C3FB9"/>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9C3FB9"/>
    <w:rPr>
      <w:b/>
      <w:bCs/>
    </w:rPr>
  </w:style>
  <w:style w:type="character" w:customStyle="1" w:styleId="CommentSubjectChar">
    <w:name w:val="Comment Subject Char"/>
    <w:basedOn w:val="CommentTextChar"/>
    <w:link w:val="CommentSubject"/>
    <w:uiPriority w:val="99"/>
    <w:semiHidden/>
    <w:rsid w:val="009C3FB9"/>
    <w:rPr>
      <w:rFonts w:ascii="Times New Roman" w:eastAsia="Times New Roman" w:hAnsi="Times New Roman"/>
      <w:b/>
      <w:bCs/>
      <w:color w:val="000000"/>
    </w:rPr>
  </w:style>
  <w:style w:type="paragraph" w:styleId="ListParagraph">
    <w:name w:val="List Paragraph"/>
    <w:basedOn w:val="Normal"/>
    <w:uiPriority w:val="34"/>
    <w:qFormat/>
    <w:rsid w:val="00525904"/>
    <w:pPr>
      <w:ind w:left="720"/>
      <w:contextualSpacing/>
    </w:pPr>
  </w:style>
  <w:style w:type="character" w:styleId="Hyperlink">
    <w:name w:val="Hyperlink"/>
    <w:basedOn w:val="DefaultParagraphFont"/>
    <w:uiPriority w:val="99"/>
    <w:unhideWhenUsed/>
    <w:rsid w:val="003E10DC"/>
    <w:rPr>
      <w:color w:val="0563C1" w:themeColor="hyperlink"/>
      <w:u w:val="single"/>
    </w:rPr>
  </w:style>
  <w:style w:type="character" w:styleId="UnresolvedMention">
    <w:name w:val="Unresolved Mention"/>
    <w:basedOn w:val="DefaultParagraphFont"/>
    <w:uiPriority w:val="99"/>
    <w:semiHidden/>
    <w:unhideWhenUsed/>
    <w:rsid w:val="003E1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pcqld.sharepoint.com/sites/DPC-CABINETSERVICES/Shared%20Documents/General/Proactive%20Release/ToBeProcessed/2022/Oct/PSBill2022/Attachments/SoC.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pcqld.sharepoint.com/sites/DPC-CABINETSERVICES/Shared%20Documents/General/Proactive%20Release/ToBeProcessed/2022/Oct/PSBill2022/Attachments/ExNote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pcqld.sharepoint.com/sites/DPC-CABINETSERVICES/Shared%20Documents/General/Proactive%20Release/ToBeProcessed/2022/Oct/PSBill2022/Attachments/Bil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fernc\Downloads\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Props1.xml><?xml version="1.0" encoding="utf-8"?>
<ds:datastoreItem xmlns:ds="http://schemas.openxmlformats.org/officeDocument/2006/customXml" ds:itemID="{2017EFFC-D0A3-46CF-BB5F-1FB6F1AEF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B7ADAFE8-8EBC-4A19-8F84-1DB5AA4F2A92}">
  <ds:schemaRefs>
    <ds:schemaRef ds:uri="http://purl.org/dc/elements/1.1/"/>
    <ds:schemaRef ds:uri="http://schemas.openxmlformats.org/package/2006/metadata/core-properties"/>
    <ds:schemaRef ds:uri="b8ed82f2-f7bd-423c-8698-5e132afe9245"/>
    <ds:schemaRef ds:uri="http://schemas.microsoft.com/office/infopath/2007/PartnerControls"/>
    <ds:schemaRef ds:uri="http://purl.org/dc/terms/"/>
    <ds:schemaRef ds:uri="63e311de-a790-43ff-be63-577c26c7507c"/>
    <ds:schemaRef ds:uri="http://schemas.microsoft.com/office/2006/metadata/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14</TotalTime>
  <Pages>1</Pages>
  <Words>379</Words>
  <Characters>2182</Characters>
  <Application>Microsoft Office Word</Application>
  <DocSecurity>0</DocSecurity>
  <Lines>33</Lines>
  <Paragraphs>12</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2560</CharactersWithSpaces>
  <SharedDoc>false</SharedDoc>
  <HyperlinkBase>https://www.cabinet.qld.gov.au/documents/2022/Oct/PSBill2022/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subject/>
  <dc:creator/>
  <cp:keywords/>
  <cp:lastModifiedBy/>
  <cp:revision>4</cp:revision>
  <cp:lastPrinted>2022-09-29T05:59:00Z</cp:lastPrinted>
  <dcterms:created xsi:type="dcterms:W3CDTF">2022-11-29T09:46:00Z</dcterms:created>
  <dcterms:modified xsi:type="dcterms:W3CDTF">2024-07-17T05:46:00Z</dcterms:modified>
  <cp:category>Legislation,Public_Service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Document Type">
    <vt:lpwstr>Cabinet Submission</vt:lpwstr>
  </property>
  <property fmtid="{D5CDD505-2E9C-101B-9397-08002B2CF9AE}" pid="4" name="MediaServiceImageTags">
    <vt:lpwstr/>
  </property>
</Properties>
</file>